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E733AE" w14:textId="3928F7C8" w:rsidR="00792F2D" w:rsidRDefault="00026BDD">
      <w:pPr>
        <w:jc w:val="center"/>
        <w:rPr>
          <w:b/>
        </w:rPr>
      </w:pPr>
      <w:bookmarkStart w:id="0" w:name="_gjdgxs" w:colFirst="0" w:colLast="0"/>
      <w:bookmarkEnd w:id="0"/>
      <w:r>
        <w:rPr>
          <w:b/>
        </w:rPr>
        <w:t>Allianz 222</w:t>
      </w:r>
      <w:r w:rsidR="00E738A9">
        <w:rPr>
          <w:b/>
        </w:rPr>
        <w:t>+</w:t>
      </w:r>
      <w:r w:rsidR="0041321E">
        <w:rPr>
          <w:b/>
        </w:rPr>
        <w:t>®</w:t>
      </w:r>
      <w:r>
        <w:rPr>
          <w:b/>
        </w:rPr>
        <w:t xml:space="preserve"> Annuity communication requirements</w:t>
      </w:r>
    </w:p>
    <w:p w14:paraId="3AB677F2" w14:textId="3A347747" w:rsidR="00792F2D" w:rsidRDefault="00026BDD">
      <w:r>
        <w:t>To help you in positioning the Allianz 222</w:t>
      </w:r>
      <w:r w:rsidR="00E738A9">
        <w:t>+</w:t>
      </w:r>
      <w:r w:rsidR="0041321E">
        <w:t>®</w:t>
      </w:r>
      <w:r>
        <w:t xml:space="preserve"> Annuity, we have created copy for you to use in your client communications. Below you will find email copy that has been pre-approved by Allianz Ad Review for your use.</w:t>
      </w:r>
    </w:p>
    <w:p w14:paraId="2B242FE8" w14:textId="36661D60" w:rsidR="001218B3" w:rsidRPr="00BF19E6" w:rsidRDefault="001218B3" w:rsidP="001218B3">
      <w:pPr>
        <w:rPr>
          <w:rFonts w:asciiTheme="majorHAnsi" w:hAnsiTheme="majorHAnsi"/>
        </w:rPr>
      </w:pPr>
      <w:r w:rsidRPr="004045EF">
        <w:t>Below</w:t>
      </w:r>
      <w:r>
        <w:t>,</w:t>
      </w:r>
      <w:r w:rsidRPr="004045EF">
        <w:t xml:space="preserve"> we have provided requirements </w:t>
      </w:r>
      <w:r>
        <w:t>for</w:t>
      </w:r>
      <w:r w:rsidRPr="004045EF">
        <w:t xml:space="preserve"> the use of this copy in your email communications. </w:t>
      </w:r>
    </w:p>
    <w:p w14:paraId="264EB17F" w14:textId="77777777" w:rsidR="001218B3" w:rsidRPr="00BF19E6" w:rsidRDefault="001218B3" w:rsidP="001218B3">
      <w:pPr>
        <w:pStyle w:val="ListParagraph"/>
        <w:ind w:left="0"/>
        <w:rPr>
          <w:rFonts w:asciiTheme="majorHAnsi" w:hAnsiTheme="majorHAnsi"/>
        </w:rPr>
      </w:pPr>
      <w:r w:rsidRPr="00BF19E6">
        <w:rPr>
          <w:rFonts w:asciiTheme="majorHAnsi" w:hAnsiTheme="majorHAnsi"/>
        </w:rPr>
        <w:t>Of course, any applicable broker/dealer approval still applies.</w:t>
      </w:r>
    </w:p>
    <w:p w14:paraId="33FC234A" w14:textId="77777777" w:rsidR="001218B3" w:rsidRDefault="001218B3" w:rsidP="001218B3">
      <w:pPr>
        <w:rPr>
          <w:b/>
        </w:rPr>
      </w:pPr>
      <w:r>
        <w:rPr>
          <w:b/>
        </w:rPr>
        <w:t>PLEASE NOTE:</w:t>
      </w:r>
    </w:p>
    <w:p w14:paraId="6AE292AA" w14:textId="28E5DDE7" w:rsidR="001218B3" w:rsidRPr="001218B3" w:rsidRDefault="00B053E6" w:rsidP="001218B3">
      <w:pPr>
        <w:pStyle w:val="ListParagraph"/>
        <w:numPr>
          <w:ilvl w:val="0"/>
          <w:numId w:val="5"/>
        </w:numPr>
        <w:rPr>
          <w:rFonts w:asciiTheme="majorHAnsi" w:hAnsiTheme="majorHAnsi"/>
          <w:b/>
        </w:rPr>
      </w:pPr>
      <w:r>
        <w:rPr>
          <w:rFonts w:asciiTheme="majorHAnsi" w:hAnsiTheme="majorHAnsi"/>
          <w:b/>
        </w:rPr>
        <w:t>You must use</w:t>
      </w:r>
      <w:r w:rsidR="001218B3" w:rsidRPr="001218B3">
        <w:rPr>
          <w:rFonts w:asciiTheme="majorHAnsi" w:hAnsiTheme="majorHAnsi"/>
          <w:b/>
        </w:rPr>
        <w:t xml:space="preserve"> the copy below exactly as provided, including any symbols, bolding, italics, underlining, etc. For example, the product name should include the registration symbol</w:t>
      </w:r>
      <w:r w:rsidR="00751A03">
        <w:rPr>
          <w:rFonts w:asciiTheme="majorHAnsi" w:hAnsiTheme="majorHAnsi"/>
          <w:b/>
        </w:rPr>
        <w:t>,</w:t>
      </w:r>
      <w:r w:rsidR="001218B3" w:rsidRPr="001218B3">
        <w:rPr>
          <w:rFonts w:asciiTheme="majorHAnsi" w:hAnsiTheme="majorHAnsi"/>
          <w:b/>
        </w:rPr>
        <w:t xml:space="preserve"> i.e. Allianz </w:t>
      </w:r>
      <w:r w:rsidR="001218B3">
        <w:rPr>
          <w:rFonts w:asciiTheme="majorHAnsi" w:hAnsiTheme="majorHAnsi"/>
          <w:b/>
        </w:rPr>
        <w:t>222</w:t>
      </w:r>
      <w:r w:rsidR="00E738A9">
        <w:rPr>
          <w:rFonts w:asciiTheme="majorHAnsi" w:hAnsiTheme="majorHAnsi"/>
          <w:b/>
        </w:rPr>
        <w:t>+</w:t>
      </w:r>
      <w:r w:rsidR="0041321E">
        <w:rPr>
          <w:rFonts w:asciiTheme="majorHAnsi" w:hAnsiTheme="majorHAnsi" w:cstheme="majorHAnsi"/>
          <w:b/>
        </w:rPr>
        <w:t>®</w:t>
      </w:r>
      <w:r w:rsidR="001218B3" w:rsidRPr="001218B3">
        <w:rPr>
          <w:rFonts w:asciiTheme="majorHAnsi" w:hAnsiTheme="majorHAnsi"/>
          <w:b/>
        </w:rPr>
        <w:t xml:space="preserve"> Annuity.</w:t>
      </w:r>
    </w:p>
    <w:p w14:paraId="11217A39" w14:textId="77777777" w:rsidR="001218B3" w:rsidRPr="001218B3" w:rsidRDefault="001218B3" w:rsidP="001218B3">
      <w:pPr>
        <w:pStyle w:val="ListParagraph"/>
        <w:numPr>
          <w:ilvl w:val="0"/>
          <w:numId w:val="5"/>
        </w:numPr>
        <w:rPr>
          <w:rFonts w:asciiTheme="majorHAnsi" w:hAnsiTheme="majorHAnsi"/>
          <w:b/>
        </w:rPr>
      </w:pPr>
      <w:r w:rsidRPr="001218B3">
        <w:rPr>
          <w:rFonts w:asciiTheme="majorHAnsi" w:hAnsiTheme="majorHAnsi"/>
          <w:b/>
        </w:rPr>
        <w:t xml:space="preserve">The communication should be designed in your </w:t>
      </w:r>
      <w:proofErr w:type="gramStart"/>
      <w:r w:rsidRPr="001218B3">
        <w:rPr>
          <w:rFonts w:asciiTheme="majorHAnsi" w:hAnsiTheme="majorHAnsi"/>
          <w:b/>
        </w:rPr>
        <w:t>brand, and</w:t>
      </w:r>
      <w:proofErr w:type="gramEnd"/>
      <w:r w:rsidRPr="001218B3">
        <w:rPr>
          <w:rFonts w:asciiTheme="majorHAnsi" w:hAnsiTheme="majorHAnsi"/>
          <w:b/>
        </w:rPr>
        <w:t xml:space="preserve"> should not appear to be coming directly from Allianz Life Insurance Company of North America (Allianz) (e.g., blue rectangle box at the top of the page, blue sky images, etc.).</w:t>
      </w:r>
    </w:p>
    <w:p w14:paraId="4CE9D56B" w14:textId="3E6EA96A" w:rsidR="00792F2D" w:rsidRPr="001218B3" w:rsidRDefault="001218B3" w:rsidP="001218B3">
      <w:pPr>
        <w:pStyle w:val="ListParagraph"/>
        <w:numPr>
          <w:ilvl w:val="0"/>
          <w:numId w:val="5"/>
        </w:numPr>
        <w:pBdr>
          <w:top w:val="nil"/>
          <w:left w:val="nil"/>
          <w:bottom w:val="nil"/>
          <w:right w:val="nil"/>
          <w:between w:val="nil"/>
        </w:pBdr>
        <w:spacing w:after="0"/>
        <w:rPr>
          <w:rFonts w:asciiTheme="majorHAnsi" w:hAnsiTheme="majorHAnsi"/>
          <w:b/>
          <w:color w:val="000000"/>
        </w:rPr>
      </w:pPr>
      <w:r w:rsidRPr="001218B3">
        <w:rPr>
          <w:rFonts w:asciiTheme="majorHAnsi" w:hAnsiTheme="majorHAnsi"/>
          <w:b/>
        </w:rPr>
        <w:t xml:space="preserve">Please keep a </w:t>
      </w:r>
      <w:proofErr w:type="gramStart"/>
      <w:r w:rsidRPr="001218B3">
        <w:rPr>
          <w:rFonts w:asciiTheme="majorHAnsi" w:hAnsiTheme="majorHAnsi"/>
          <w:b/>
        </w:rPr>
        <w:t>copy</w:t>
      </w:r>
      <w:proofErr w:type="gramEnd"/>
      <w:r w:rsidRPr="001218B3">
        <w:rPr>
          <w:rFonts w:asciiTheme="majorHAnsi" w:hAnsiTheme="majorHAnsi"/>
          <w:b/>
        </w:rPr>
        <w:t xml:space="preserve"> your records.</w:t>
      </w:r>
    </w:p>
    <w:p w14:paraId="2E64B64B" w14:textId="77777777" w:rsidR="00792F2D" w:rsidRDefault="00026BDD">
      <w:pPr>
        <w:ind w:left="360"/>
        <w:rPr>
          <w:b/>
        </w:rPr>
      </w:pPr>
      <w:r>
        <w:rPr>
          <w:noProof/>
        </w:rPr>
        <mc:AlternateContent>
          <mc:Choice Requires="wps">
            <w:drawing>
              <wp:anchor distT="0" distB="0" distL="114300" distR="114300" simplePos="0" relativeHeight="251658240" behindDoc="0" locked="0" layoutInCell="1" hidden="0" allowOverlap="1" wp14:anchorId="6D1FDA13" wp14:editId="79FDFD64">
                <wp:simplePos x="0" y="0"/>
                <wp:positionH relativeFrom="column">
                  <wp:posOffset>1</wp:posOffset>
                </wp:positionH>
                <wp:positionV relativeFrom="paragraph">
                  <wp:posOffset>0</wp:posOffset>
                </wp:positionV>
                <wp:extent cx="6210300" cy="12700"/>
                <wp:effectExtent l="0" t="0" r="0" b="0"/>
                <wp:wrapNone/>
                <wp:docPr id="2" name="Straight Arrow Connector 2"/>
                <wp:cNvGraphicFramePr/>
                <a:graphic xmlns:a="http://schemas.openxmlformats.org/drawingml/2006/main">
                  <a:graphicData uri="http://schemas.microsoft.com/office/word/2010/wordprocessingShape">
                    <wps:wsp>
                      <wps:cNvCnPr/>
                      <wps:spPr>
                        <a:xfrm rot="10800000" flipH="1">
                          <a:off x="2240850" y="3776825"/>
                          <a:ext cx="6210300" cy="635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w:pict>
              <v:shapetype w14:anchorId="05E26D7E" id="_x0000_t32" coordsize="21600,21600" o:spt="32" o:oned="t" path="m,l21600,21600e" filled="f">
                <v:path arrowok="t" fillok="f" o:connecttype="none"/>
                <o:lock v:ext="edit" shapetype="t"/>
              </v:shapetype>
              <v:shape id="Straight Arrow Connector 2" o:spid="_x0000_s1026" type="#_x0000_t32" style="position:absolute;margin-left:0;margin-top:0;width:489pt;height:1pt;rotation:180;flip:x;z-index:251658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" strokecolor="black [3200]">
                <v:stroke startarrowwidth="narrow" startarrowlength="short" endarrowwidth="narrow" endarrowlength="short"/>
              </v:shape>
            </w:pict>
          </mc:Fallback>
        </mc:AlternateContent>
      </w:r>
    </w:p>
    <w:p w14:paraId="68B2171D" w14:textId="77777777" w:rsidR="00792F2D" w:rsidRDefault="00026BDD">
      <w:pPr>
        <w:rPr>
          <w:b/>
          <w:sz w:val="24"/>
          <w:szCs w:val="24"/>
        </w:rPr>
      </w:pPr>
      <w:r>
        <w:rPr>
          <w:b/>
          <w:sz w:val="24"/>
          <w:szCs w:val="24"/>
        </w:rPr>
        <w:t>SUBJECT LINE OPTIONS:</w:t>
      </w:r>
    </w:p>
    <w:p w14:paraId="132D9266" w14:textId="77777777" w:rsidR="00792F2D" w:rsidRPr="00C93026" w:rsidRDefault="00026BDD">
      <w:pPr>
        <w:rPr>
          <w:sz w:val="24"/>
          <w:szCs w:val="24"/>
        </w:rPr>
      </w:pPr>
      <w:r w:rsidRPr="00C93026">
        <w:rPr>
          <w:sz w:val="24"/>
          <w:szCs w:val="24"/>
        </w:rPr>
        <w:t xml:space="preserve">Subject line option 1: An Allianz annuity could help you reach your retirement goals </w:t>
      </w:r>
    </w:p>
    <w:p w14:paraId="565604E2" w14:textId="7C5FBD29" w:rsidR="00792F2D" w:rsidRPr="00C93026" w:rsidRDefault="00026BDD">
      <w:pPr>
        <w:rPr>
          <w:sz w:val="24"/>
          <w:szCs w:val="24"/>
        </w:rPr>
      </w:pPr>
      <w:r w:rsidRPr="00C93026">
        <w:rPr>
          <w:sz w:val="24"/>
          <w:szCs w:val="24"/>
        </w:rPr>
        <w:t>Subject line option 2: Now is a great time to look at Allianz 222</w:t>
      </w:r>
      <w:r w:rsidR="00E738A9" w:rsidRPr="00C93026">
        <w:rPr>
          <w:sz w:val="24"/>
          <w:szCs w:val="24"/>
        </w:rPr>
        <w:t>+</w:t>
      </w:r>
      <w:r w:rsidRPr="00C93026">
        <w:rPr>
          <w:sz w:val="24"/>
          <w:szCs w:val="24"/>
        </w:rPr>
        <w:t xml:space="preserve"> Annuity</w:t>
      </w:r>
    </w:p>
    <w:p w14:paraId="3D0623EC" w14:textId="77777777" w:rsidR="00792F2D" w:rsidRPr="00C93026" w:rsidRDefault="00026BDD">
      <w:pPr>
        <w:rPr>
          <w:sz w:val="24"/>
          <w:szCs w:val="24"/>
        </w:rPr>
      </w:pPr>
      <w:r w:rsidRPr="00C93026">
        <w:rPr>
          <w:sz w:val="24"/>
          <w:szCs w:val="24"/>
        </w:rPr>
        <w:t>Subject line option 3: Now is a great time to consider an Allianz annuity</w:t>
      </w:r>
    </w:p>
    <w:p w14:paraId="2F9CFC10" w14:textId="77777777" w:rsidR="00792F2D" w:rsidRDefault="00026BDD">
      <w:pPr>
        <w:rPr>
          <w:b/>
          <w:sz w:val="24"/>
          <w:szCs w:val="24"/>
        </w:rPr>
      </w:pPr>
      <w:r>
        <w:rPr>
          <w:b/>
          <w:sz w:val="24"/>
          <w:szCs w:val="24"/>
        </w:rPr>
        <w:t xml:space="preserve">COPY: </w:t>
      </w:r>
    </w:p>
    <w:p w14:paraId="347EB7CC" w14:textId="77777777" w:rsidR="00792F2D" w:rsidRPr="00C93026" w:rsidRDefault="00026BDD">
      <w:pPr>
        <w:rPr>
          <w:bCs/>
          <w:sz w:val="24"/>
          <w:szCs w:val="24"/>
        </w:rPr>
      </w:pPr>
      <w:r w:rsidRPr="00C93026">
        <w:rPr>
          <w:bCs/>
          <w:sz w:val="24"/>
          <w:szCs w:val="24"/>
        </w:rPr>
        <w:t>[Client name],</w:t>
      </w:r>
    </w:p>
    <w:p w14:paraId="7C5DD99C" w14:textId="5BA957BD" w:rsidR="00792F2D" w:rsidRDefault="00026BDD">
      <w:pPr>
        <w:rPr>
          <w:color w:val="000000"/>
          <w:sz w:val="24"/>
          <w:szCs w:val="24"/>
        </w:rPr>
      </w:pPr>
      <w:r>
        <w:rPr>
          <w:color w:val="000000"/>
          <w:sz w:val="24"/>
          <w:szCs w:val="24"/>
        </w:rPr>
        <w:t xml:space="preserve">Fixed index annuities (FIAs) can be a great addition to a retirement portfolio. They offer </w:t>
      </w:r>
      <w:r w:rsidR="00C93026">
        <w:rPr>
          <w:color w:val="000000"/>
          <w:sz w:val="24"/>
          <w:szCs w:val="24"/>
        </w:rPr>
        <w:t xml:space="preserve">tax-deferred </w:t>
      </w:r>
      <w:r>
        <w:rPr>
          <w:color w:val="000000"/>
          <w:sz w:val="24"/>
          <w:szCs w:val="24"/>
        </w:rPr>
        <w:t>accumulation potential, principal protection from market downturns, and a death benefit for beneficiaries.</w:t>
      </w:r>
    </w:p>
    <w:p w14:paraId="377220F8" w14:textId="37F283F7" w:rsidR="00792F2D" w:rsidRDefault="00026BDD">
      <w:pPr>
        <w:rPr>
          <w:sz w:val="24"/>
          <w:szCs w:val="24"/>
        </w:rPr>
      </w:pPr>
      <w:r>
        <w:rPr>
          <w:sz w:val="24"/>
          <w:szCs w:val="24"/>
        </w:rPr>
        <w:t>Allianz 222</w:t>
      </w:r>
      <w:r w:rsidR="00E738A9">
        <w:rPr>
          <w:sz w:val="24"/>
          <w:szCs w:val="24"/>
        </w:rPr>
        <w:t>+</w:t>
      </w:r>
      <w:r w:rsidR="0041321E">
        <w:rPr>
          <w:sz w:val="24"/>
          <w:szCs w:val="24"/>
        </w:rPr>
        <w:t>®</w:t>
      </w:r>
      <w:r>
        <w:rPr>
          <w:sz w:val="24"/>
          <w:szCs w:val="24"/>
        </w:rPr>
        <w:t xml:space="preserve"> Annuity from Allianz Life Insurance Company of North America (Allianz) is </w:t>
      </w:r>
      <w:proofErr w:type="gramStart"/>
      <w:r w:rsidR="00E738A9">
        <w:rPr>
          <w:sz w:val="24"/>
          <w:szCs w:val="24"/>
        </w:rPr>
        <w:t>an</w:t>
      </w:r>
      <w:proofErr w:type="gramEnd"/>
      <w:r>
        <w:rPr>
          <w:sz w:val="24"/>
          <w:szCs w:val="24"/>
        </w:rPr>
        <w:t xml:space="preserve"> FIA that can help you </w:t>
      </w:r>
      <w:r>
        <w:rPr>
          <w:b/>
          <w:sz w:val="24"/>
          <w:szCs w:val="24"/>
        </w:rPr>
        <w:t xml:space="preserve">save for retirement </w:t>
      </w:r>
      <w:r>
        <w:rPr>
          <w:sz w:val="24"/>
          <w:szCs w:val="24"/>
        </w:rPr>
        <w:t>with two ways to get a bonus:</w:t>
      </w:r>
      <w:r>
        <w:rPr>
          <w:sz w:val="24"/>
          <w:szCs w:val="24"/>
          <w:vertAlign w:val="superscript"/>
        </w:rPr>
        <w:t>1</w:t>
      </w:r>
    </w:p>
    <w:p w14:paraId="3067A821" w14:textId="425AC1E2" w:rsidR="00792F2D" w:rsidRDefault="003622B5">
      <w:pPr>
        <w:numPr>
          <w:ilvl w:val="0"/>
          <w:numId w:val="4"/>
        </w:numPr>
        <w:pBdr>
          <w:top w:val="nil"/>
          <w:left w:val="nil"/>
          <w:bottom w:val="nil"/>
          <w:right w:val="nil"/>
          <w:between w:val="nil"/>
        </w:pBdr>
        <w:spacing w:after="0"/>
        <w:rPr>
          <w:color w:val="000000"/>
          <w:sz w:val="24"/>
          <w:szCs w:val="24"/>
        </w:rPr>
      </w:pPr>
      <w:r>
        <w:rPr>
          <w:color w:val="000000"/>
          <w:sz w:val="24"/>
          <w:szCs w:val="24"/>
        </w:rPr>
        <w:t xml:space="preserve">A </w:t>
      </w:r>
      <w:r w:rsidR="00FA59DC">
        <w:rPr>
          <w:sz w:val="24"/>
          <w:szCs w:val="24"/>
        </w:rPr>
        <w:t>45</w:t>
      </w:r>
      <w:r w:rsidR="00E02057" w:rsidRPr="00D80AEC">
        <w:rPr>
          <w:sz w:val="24"/>
          <w:szCs w:val="24"/>
        </w:rPr>
        <w:t>%</w:t>
      </w:r>
      <w:r w:rsidR="00026BDD" w:rsidRPr="00FD760A">
        <w:rPr>
          <w:color w:val="FF0000"/>
          <w:sz w:val="24"/>
          <w:szCs w:val="24"/>
        </w:rPr>
        <w:t xml:space="preserve"> </w:t>
      </w:r>
      <w:r w:rsidR="00026BDD">
        <w:rPr>
          <w:color w:val="000000"/>
          <w:sz w:val="24"/>
          <w:szCs w:val="24"/>
        </w:rPr>
        <w:t>bonus</w:t>
      </w:r>
      <w:r w:rsidR="00B15438">
        <w:rPr>
          <w:color w:val="000000"/>
          <w:sz w:val="24"/>
          <w:szCs w:val="24"/>
        </w:rPr>
        <w:t xml:space="preserve"> credited to the Protected Income Value (PIV)</w:t>
      </w:r>
      <w:r w:rsidR="00026BDD">
        <w:rPr>
          <w:color w:val="000000"/>
          <w:sz w:val="24"/>
          <w:szCs w:val="24"/>
        </w:rPr>
        <w:t xml:space="preserve"> on any premium you put into your annuity in the first 18 months, and</w:t>
      </w:r>
    </w:p>
    <w:p w14:paraId="13A9D242" w14:textId="0A97CC99" w:rsidR="00792F2D" w:rsidRDefault="00026BDD">
      <w:pPr>
        <w:numPr>
          <w:ilvl w:val="0"/>
          <w:numId w:val="4"/>
        </w:numPr>
        <w:pBdr>
          <w:top w:val="nil"/>
          <w:left w:val="nil"/>
          <w:bottom w:val="nil"/>
          <w:right w:val="nil"/>
          <w:between w:val="nil"/>
        </w:pBdr>
        <w:rPr>
          <w:color w:val="000000"/>
          <w:sz w:val="24"/>
          <w:szCs w:val="24"/>
        </w:rPr>
      </w:pPr>
      <w:r>
        <w:rPr>
          <w:color w:val="000000"/>
          <w:sz w:val="24"/>
          <w:szCs w:val="24"/>
        </w:rPr>
        <w:t>A</w:t>
      </w:r>
      <w:r w:rsidR="00B15438">
        <w:rPr>
          <w:color w:val="000000"/>
          <w:sz w:val="24"/>
          <w:szCs w:val="24"/>
        </w:rPr>
        <w:t xml:space="preserve"> PIV</w:t>
      </w:r>
      <w:r>
        <w:rPr>
          <w:color w:val="000000"/>
          <w:sz w:val="24"/>
          <w:szCs w:val="24"/>
        </w:rPr>
        <w:t xml:space="preserve"> interest bonus </w:t>
      </w:r>
      <w:r w:rsidR="006B5A3B">
        <w:rPr>
          <w:color w:val="000000"/>
          <w:sz w:val="24"/>
          <w:szCs w:val="24"/>
        </w:rPr>
        <w:t xml:space="preserve">factor </w:t>
      </w:r>
      <w:r>
        <w:rPr>
          <w:color w:val="000000"/>
          <w:sz w:val="24"/>
          <w:szCs w:val="24"/>
        </w:rPr>
        <w:t xml:space="preserve">equal to </w:t>
      </w:r>
      <w:proofErr w:type="gramStart"/>
      <w:r>
        <w:rPr>
          <w:color w:val="000000"/>
          <w:sz w:val="24"/>
          <w:szCs w:val="24"/>
        </w:rPr>
        <w:t>a credit of 150</w:t>
      </w:r>
      <w:proofErr w:type="gramEnd"/>
      <w:r>
        <w:rPr>
          <w:color w:val="000000"/>
          <w:sz w:val="24"/>
          <w:szCs w:val="24"/>
        </w:rPr>
        <w:t>% of any interest earned.</w:t>
      </w:r>
    </w:p>
    <w:p w14:paraId="74F3E067" w14:textId="77777777" w:rsidR="00792F2D" w:rsidRDefault="00026BDD">
      <w:pPr>
        <w:rPr>
          <w:sz w:val="24"/>
          <w:szCs w:val="24"/>
        </w:rPr>
      </w:pPr>
      <w:r>
        <w:rPr>
          <w:sz w:val="24"/>
          <w:szCs w:val="24"/>
        </w:rPr>
        <w:t xml:space="preserve">And </w:t>
      </w:r>
      <w:r>
        <w:rPr>
          <w:b/>
          <w:sz w:val="24"/>
          <w:szCs w:val="24"/>
        </w:rPr>
        <w:t>when you’re ready to start receiving lifetime withdrawals</w:t>
      </w:r>
      <w:r>
        <w:rPr>
          <w:sz w:val="24"/>
          <w:szCs w:val="24"/>
        </w:rPr>
        <w:t>, enjoy two ways to increase your income:</w:t>
      </w:r>
      <w:r>
        <w:rPr>
          <w:sz w:val="24"/>
          <w:szCs w:val="24"/>
          <w:vertAlign w:val="superscript"/>
        </w:rPr>
        <w:t>2</w:t>
      </w:r>
    </w:p>
    <w:p w14:paraId="4AF4B29F" w14:textId="3F37F499" w:rsidR="00792F2D" w:rsidRDefault="00026BDD">
      <w:pPr>
        <w:numPr>
          <w:ilvl w:val="0"/>
          <w:numId w:val="2"/>
        </w:numPr>
        <w:pBdr>
          <w:top w:val="nil"/>
          <w:left w:val="nil"/>
          <w:bottom w:val="nil"/>
          <w:right w:val="nil"/>
          <w:between w:val="nil"/>
        </w:pBdr>
        <w:spacing w:after="0"/>
        <w:rPr>
          <w:color w:val="000000"/>
          <w:sz w:val="24"/>
          <w:szCs w:val="24"/>
        </w:rPr>
      </w:pPr>
      <w:r>
        <w:rPr>
          <w:color w:val="000000"/>
          <w:sz w:val="24"/>
          <w:szCs w:val="24"/>
        </w:rPr>
        <w:t>Lifetime withdrawals can increase based on any interest you earn, plus a 150%</w:t>
      </w:r>
      <w:r w:rsidR="00B15438">
        <w:rPr>
          <w:color w:val="000000"/>
          <w:sz w:val="24"/>
          <w:szCs w:val="24"/>
        </w:rPr>
        <w:t xml:space="preserve"> PIV</w:t>
      </w:r>
      <w:r>
        <w:rPr>
          <w:color w:val="000000"/>
          <w:sz w:val="24"/>
          <w:szCs w:val="24"/>
        </w:rPr>
        <w:t xml:space="preserve"> interest bonus factor, and</w:t>
      </w:r>
    </w:p>
    <w:p w14:paraId="28756A7C" w14:textId="77777777" w:rsidR="00792F2D" w:rsidRDefault="00026BDD">
      <w:pPr>
        <w:numPr>
          <w:ilvl w:val="0"/>
          <w:numId w:val="2"/>
        </w:numPr>
        <w:pBdr>
          <w:top w:val="nil"/>
          <w:left w:val="nil"/>
          <w:bottom w:val="nil"/>
          <w:right w:val="nil"/>
          <w:between w:val="nil"/>
        </w:pBdr>
        <w:rPr>
          <w:color w:val="000000"/>
          <w:sz w:val="24"/>
          <w:szCs w:val="24"/>
        </w:rPr>
      </w:pPr>
      <w:r>
        <w:rPr>
          <w:color w:val="000000"/>
          <w:sz w:val="24"/>
          <w:szCs w:val="24"/>
        </w:rPr>
        <w:t>You can double your annual maximum withdrawal under qualifying circumstances.</w:t>
      </w:r>
      <w:r>
        <w:rPr>
          <w:color w:val="000000"/>
          <w:sz w:val="24"/>
          <w:szCs w:val="24"/>
          <w:vertAlign w:val="superscript"/>
        </w:rPr>
        <w:t>3</w:t>
      </w:r>
    </w:p>
    <w:p w14:paraId="3B82E007" w14:textId="14CF7D83" w:rsidR="00792F2D" w:rsidRDefault="00026BDD">
      <w:pPr>
        <w:rPr>
          <w:sz w:val="24"/>
          <w:szCs w:val="24"/>
        </w:rPr>
      </w:pPr>
      <w:r>
        <w:rPr>
          <w:sz w:val="24"/>
          <w:szCs w:val="24"/>
        </w:rPr>
        <w:t>Plus, Allianz 222</w:t>
      </w:r>
      <w:r w:rsidR="00C93026">
        <w:rPr>
          <w:sz w:val="24"/>
          <w:szCs w:val="24"/>
        </w:rPr>
        <w:t>+</w:t>
      </w:r>
      <w:r w:rsidR="0041321E">
        <w:rPr>
          <w:sz w:val="24"/>
          <w:szCs w:val="24"/>
        </w:rPr>
        <w:t>®</w:t>
      </w:r>
      <w:r>
        <w:rPr>
          <w:sz w:val="24"/>
          <w:szCs w:val="24"/>
        </w:rPr>
        <w:t xml:space="preserve"> gives your beneficiaries </w:t>
      </w:r>
      <w:r>
        <w:rPr>
          <w:b/>
          <w:sz w:val="24"/>
          <w:szCs w:val="24"/>
        </w:rPr>
        <w:t>two ways to receive a death benefit</w:t>
      </w:r>
      <w:r>
        <w:rPr>
          <w:sz w:val="24"/>
          <w:szCs w:val="24"/>
        </w:rPr>
        <w:t>:</w:t>
      </w:r>
    </w:p>
    <w:p w14:paraId="26D9433D" w14:textId="0E6F1F06" w:rsidR="00792F2D" w:rsidRDefault="00026BDD">
      <w:pPr>
        <w:numPr>
          <w:ilvl w:val="0"/>
          <w:numId w:val="3"/>
        </w:numPr>
        <w:pBdr>
          <w:top w:val="nil"/>
          <w:left w:val="nil"/>
          <w:bottom w:val="nil"/>
          <w:right w:val="nil"/>
          <w:between w:val="nil"/>
        </w:pBdr>
        <w:spacing w:after="0"/>
        <w:rPr>
          <w:color w:val="000000"/>
          <w:sz w:val="24"/>
          <w:szCs w:val="24"/>
        </w:rPr>
      </w:pPr>
      <w:r>
        <w:rPr>
          <w:color w:val="000000"/>
          <w:sz w:val="24"/>
          <w:szCs w:val="24"/>
        </w:rPr>
        <w:t>They can receive your annuity’s full accumulation value as a lump sum,</w:t>
      </w:r>
      <w:r w:rsidR="00C93026" w:rsidRPr="00C93026">
        <w:rPr>
          <w:color w:val="000000"/>
          <w:sz w:val="24"/>
          <w:szCs w:val="24"/>
          <w:vertAlign w:val="superscript"/>
        </w:rPr>
        <w:t>4</w:t>
      </w:r>
      <w:r>
        <w:rPr>
          <w:color w:val="000000"/>
          <w:sz w:val="24"/>
          <w:szCs w:val="24"/>
        </w:rPr>
        <w:t xml:space="preserve"> or</w:t>
      </w:r>
    </w:p>
    <w:p w14:paraId="77F534B4" w14:textId="12BF41E5" w:rsidR="00792F2D" w:rsidRDefault="00751A03">
      <w:pPr>
        <w:numPr>
          <w:ilvl w:val="0"/>
          <w:numId w:val="3"/>
        </w:numPr>
        <w:pBdr>
          <w:top w:val="nil"/>
          <w:left w:val="nil"/>
          <w:bottom w:val="nil"/>
          <w:right w:val="nil"/>
          <w:between w:val="nil"/>
        </w:pBdr>
        <w:rPr>
          <w:color w:val="000000"/>
          <w:sz w:val="24"/>
          <w:szCs w:val="24"/>
        </w:rPr>
      </w:pPr>
      <w:r>
        <w:rPr>
          <w:color w:val="000000"/>
          <w:sz w:val="24"/>
          <w:szCs w:val="24"/>
        </w:rPr>
        <w:t>They</w:t>
      </w:r>
      <w:r w:rsidR="00026BDD">
        <w:rPr>
          <w:color w:val="000000"/>
          <w:sz w:val="24"/>
          <w:szCs w:val="24"/>
        </w:rPr>
        <w:t xml:space="preserve"> can receive the full Protected Income Value as annuity payments over at least five years.</w:t>
      </w:r>
    </w:p>
    <w:p w14:paraId="67A90312" w14:textId="77777777" w:rsidR="00792F2D" w:rsidRDefault="00026BDD">
      <w:pPr>
        <w:spacing w:after="0" w:line="240" w:lineRule="auto"/>
        <w:rPr>
          <w:color w:val="000000"/>
          <w:sz w:val="24"/>
          <w:szCs w:val="24"/>
        </w:rPr>
      </w:pPr>
      <w:r>
        <w:rPr>
          <w:color w:val="000000"/>
          <w:sz w:val="24"/>
          <w:szCs w:val="24"/>
        </w:rPr>
        <w:t>Please contact me to see if this might be a good fit for your retirement portfolio.</w:t>
      </w:r>
    </w:p>
    <w:p w14:paraId="59E7BD14" w14:textId="77777777" w:rsidR="00792F2D" w:rsidRDefault="00792F2D">
      <w:pPr>
        <w:spacing w:after="0" w:line="240" w:lineRule="auto"/>
        <w:rPr>
          <w:b/>
          <w:color w:val="000000"/>
        </w:rPr>
      </w:pPr>
    </w:p>
    <w:p w14:paraId="2A4D858E" w14:textId="77777777" w:rsidR="00792F2D" w:rsidRDefault="00026BDD">
      <w:pPr>
        <w:spacing w:after="0" w:line="240" w:lineRule="auto"/>
        <w:rPr>
          <w:b/>
          <w:color w:val="000000"/>
        </w:rPr>
      </w:pPr>
      <w:r>
        <w:rPr>
          <w:b/>
          <w:color w:val="000000"/>
        </w:rPr>
        <w:t>Sincerely,</w:t>
      </w:r>
    </w:p>
    <w:p w14:paraId="7B095187" w14:textId="77777777" w:rsidR="00792F2D" w:rsidRDefault="00026BDD">
      <w:pPr>
        <w:spacing w:after="0" w:line="240" w:lineRule="auto"/>
        <w:rPr>
          <w:b/>
          <w:color w:val="000000"/>
        </w:rPr>
      </w:pPr>
      <w:r>
        <w:rPr>
          <w:b/>
          <w:color w:val="000000"/>
        </w:rPr>
        <w:t>[</w:t>
      </w:r>
      <w:r w:rsidRPr="00D80AEC">
        <w:rPr>
          <w:bCs/>
          <w:color w:val="000000"/>
        </w:rPr>
        <w:t>Financial professional signature</w:t>
      </w:r>
      <w:r>
        <w:rPr>
          <w:b/>
          <w:color w:val="000000"/>
        </w:rPr>
        <w:t>]</w:t>
      </w:r>
    </w:p>
    <w:p w14:paraId="2F89AA0B" w14:textId="77777777" w:rsidR="00792F2D" w:rsidRDefault="00792F2D">
      <w:pPr>
        <w:rPr>
          <w:b/>
          <w:sz w:val="24"/>
          <w:szCs w:val="24"/>
        </w:rPr>
      </w:pPr>
    </w:p>
    <w:p w14:paraId="4F4D4787" w14:textId="09097CF2" w:rsidR="00792F2D" w:rsidRDefault="00026BDD">
      <w:pPr>
        <w:rPr>
          <w:b/>
        </w:rPr>
      </w:pPr>
      <w:bookmarkStart w:id="1" w:name="_30j0zll" w:colFirst="0" w:colLast="0"/>
      <w:bookmarkEnd w:id="1"/>
      <w:r>
        <w:rPr>
          <w:b/>
        </w:rPr>
        <w:t>The purchase of an annuity is an important financial decision. You should have a full discussion with your Allianz</w:t>
      </w:r>
      <w:r w:rsidR="00751A03">
        <w:rPr>
          <w:b/>
        </w:rPr>
        <w:t>®</w:t>
      </w:r>
      <w:r>
        <w:rPr>
          <w:b/>
        </w:rPr>
        <w:t xml:space="preserve"> financial professional before making any decision.</w:t>
      </w:r>
    </w:p>
    <w:p w14:paraId="62BDF695" w14:textId="7FAD6CC4" w:rsidR="00792F2D" w:rsidRDefault="00026BDD">
      <w:r>
        <w:rPr>
          <w:vertAlign w:val="superscript"/>
        </w:rPr>
        <w:t>1</w:t>
      </w:r>
      <w:r>
        <w:t xml:space="preserve"> </w:t>
      </w:r>
      <w:r w:rsidR="00B15438" w:rsidRPr="00B15438">
        <w:t xml:space="preserve">The premium bonus and interest bonus </w:t>
      </w:r>
      <w:r w:rsidR="001A3AE5">
        <w:t xml:space="preserve">factor </w:t>
      </w:r>
      <w:r w:rsidR="00B15438" w:rsidRPr="00B15438">
        <w:t xml:space="preserve">are credited only to the Protected Income Value (PIV). To receive </w:t>
      </w:r>
      <w:proofErr w:type="gramStart"/>
      <w:r w:rsidR="00B15438" w:rsidRPr="00B15438">
        <w:t>the PIV</w:t>
      </w:r>
      <w:proofErr w:type="gramEnd"/>
      <w:r w:rsidR="00B15438" w:rsidRPr="00B15438">
        <w:t xml:space="preserve">, including the value of these bonuses, the contract must be held for at least 10 contract years and then lifetime withdrawals must be taken between the ages of 60 and 100. The PIV is not available as a lump sum. Clients will not receive these bonuses if the contract is fully withdrawn or if traditional annuity payments are </w:t>
      </w:r>
      <w:proofErr w:type="gramStart"/>
      <w:r w:rsidR="00B15438" w:rsidRPr="00B15438">
        <w:t>taken</w:t>
      </w:r>
      <w:proofErr w:type="gramEnd"/>
      <w:r w:rsidR="00B15438" w:rsidRPr="00B15438">
        <w:t>. If the client takes any type of withdrawal the PIV will be reduced proportionally. Bonus annuities may include higher withdrawal charges, longer withdrawal charge periods, lower rates, or other restrictions that are not included in similar annuities that do not offer a bonus feature.</w:t>
      </w:r>
    </w:p>
    <w:p w14:paraId="2CA9AB97" w14:textId="77777777" w:rsidR="00792F2D" w:rsidRDefault="00026BDD">
      <w:r>
        <w:rPr>
          <w:vertAlign w:val="superscript"/>
        </w:rPr>
        <w:t>2</w:t>
      </w:r>
      <w:r>
        <w:t xml:space="preserve"> Increasing income potential is provided through a built-in rider at no additional cost.</w:t>
      </w:r>
    </w:p>
    <w:p w14:paraId="04288432" w14:textId="1907EBD7" w:rsidR="00792F2D" w:rsidRDefault="00026BDD">
      <w:r w:rsidRPr="00C93026">
        <w:rPr>
          <w:rFonts w:asciiTheme="majorHAnsi" w:hAnsiTheme="majorHAnsi" w:cstheme="majorHAnsi"/>
          <w:vertAlign w:val="superscript"/>
        </w:rPr>
        <w:t>3</w:t>
      </w:r>
      <w:r w:rsidRPr="00C93026">
        <w:rPr>
          <w:rFonts w:asciiTheme="majorHAnsi" w:hAnsiTheme="majorHAnsi" w:cstheme="majorHAnsi"/>
        </w:rPr>
        <w:t xml:space="preserve"> </w:t>
      </w:r>
      <w:bookmarkStart w:id="2" w:name="_Hlk193119770"/>
      <w:r w:rsidR="001A3AE5" w:rsidRPr="001A3AE5">
        <w:rPr>
          <w:rFonts w:asciiTheme="majorHAnsi" w:hAnsiTheme="majorHAnsi" w:cstheme="majorHAnsi"/>
        </w:rPr>
        <w:t xml:space="preserve">To receive the Allianz Income Multiplier Benefit, the covered person must meet the confinement or activities of daily living (ADL) requirements.  To meet the confinement criteria, you must be confined to an eligible hospital, nursing facility, or assisted living facility for at least 90 days in a consecutive 120-day period. Confinement must occur after the first contract year and either during the contract year before the start of the lifetime income withdrawals or at any time thereafter. To meet the ADL criteria, a physician must certify that the covered person is unable to perform at least two of the six ADLs for at least 90 consecutive days.  The six ADLs are eating, bathing, dressing, toileting, transferring, and continence.  Diagnosis must occur during the contract year prior to beginning lifetime income withdrawals or any time thereafter. The enhanced withdrawals will occur until a full </w:t>
      </w:r>
      <w:proofErr w:type="gramStart"/>
      <w:r w:rsidR="001A3AE5" w:rsidRPr="001A3AE5">
        <w:rPr>
          <w:rFonts w:asciiTheme="majorHAnsi" w:hAnsiTheme="majorHAnsi" w:cstheme="majorHAnsi"/>
        </w:rPr>
        <w:t>recovery</w:t>
      </w:r>
      <w:proofErr w:type="gramEnd"/>
      <w:r w:rsidR="001A3AE5" w:rsidRPr="001A3AE5">
        <w:rPr>
          <w:rFonts w:asciiTheme="majorHAnsi" w:hAnsiTheme="majorHAnsi" w:cstheme="majorHAnsi"/>
        </w:rPr>
        <w:t xml:space="preserve"> or the accumulation value reaches zero, at which time the withdrawals will revert back to the standard amount.  </w:t>
      </w:r>
      <w:bookmarkEnd w:id="2"/>
    </w:p>
    <w:p w14:paraId="18349D22" w14:textId="6BAC01E3" w:rsidR="00C93026" w:rsidRPr="00C93026" w:rsidRDefault="00C93026">
      <w:pPr>
        <w:rPr>
          <w:rFonts w:asciiTheme="majorHAnsi" w:hAnsiTheme="majorHAnsi" w:cstheme="majorHAnsi"/>
        </w:rPr>
      </w:pPr>
      <w:r w:rsidRPr="00C93026">
        <w:rPr>
          <w:rFonts w:asciiTheme="majorHAnsi" w:hAnsiTheme="majorHAnsi" w:cstheme="majorHAnsi"/>
          <w:vertAlign w:val="superscript"/>
        </w:rPr>
        <w:t>4</w:t>
      </w:r>
      <w:r w:rsidRPr="00C93026">
        <w:rPr>
          <w:rFonts w:asciiTheme="majorHAnsi" w:hAnsiTheme="majorHAnsi" w:cstheme="majorHAnsi"/>
        </w:rPr>
        <w:t xml:space="preserve"> The lump sum death benefit will be the greater of the accumulation value, the guaranteed minimum value, or the cumulative withdrawal amount.</w:t>
      </w:r>
    </w:p>
    <w:p w14:paraId="21641874" w14:textId="2CA5CEA9" w:rsidR="00792F2D" w:rsidRDefault="00B15438">
      <w:r>
        <w:t>Distributions</w:t>
      </w:r>
      <w:r w:rsidR="00026BDD">
        <w:t xml:space="preserve"> are subject to ordinary income tax and, if taken prior to age 59½, a 10% federal additional tax.</w:t>
      </w:r>
    </w:p>
    <w:p w14:paraId="180AED04" w14:textId="5D5316D2" w:rsidR="00792F2D" w:rsidRDefault="00026BDD">
      <w:r>
        <w:t xml:space="preserve">Guarantees are backed </w:t>
      </w:r>
      <w:r w:rsidR="001A3AE5">
        <w:t xml:space="preserve">solely </w:t>
      </w:r>
      <w:r>
        <w:t xml:space="preserve">by the financial strength and claims-paying ability of </w:t>
      </w:r>
      <w:proofErr w:type="gramStart"/>
      <w:r w:rsidR="00B15438">
        <w:t>the issuing</w:t>
      </w:r>
      <w:proofErr w:type="gramEnd"/>
      <w:r w:rsidR="00B15438">
        <w:t xml:space="preserve"> insurance company</w:t>
      </w:r>
      <w:r>
        <w:t>.</w:t>
      </w:r>
    </w:p>
    <w:p w14:paraId="763361E1" w14:textId="04FD7EF6" w:rsidR="00792F2D" w:rsidRDefault="00026BDD">
      <w:r>
        <w:t>Products are issued by Allianz Life Insurance Company of North America</w:t>
      </w:r>
      <w:r w:rsidR="00B15438">
        <w:t xml:space="preserve"> (Allianz)</w:t>
      </w:r>
      <w:r>
        <w:t>.</w:t>
      </w:r>
    </w:p>
    <w:p w14:paraId="131DB0DE" w14:textId="7AEB99ED" w:rsidR="003E27D9" w:rsidRDefault="003E27D9">
      <w:r>
        <w:t xml:space="preserve">This </w:t>
      </w:r>
      <w:r w:rsidR="00983912">
        <w:t>content</w:t>
      </w:r>
      <w:r>
        <w:t xml:space="preserve"> does not apply in the state of New York.</w:t>
      </w:r>
    </w:p>
    <w:p w14:paraId="2C3EF41E" w14:textId="77777777" w:rsidR="00792F2D" w:rsidRDefault="00026BDD">
      <w:pPr>
        <w:rPr>
          <w:b/>
        </w:rPr>
      </w:pPr>
      <w:r>
        <w:rPr>
          <w:b/>
        </w:rPr>
        <w:t>Product and feature availability may vary by state and broker/dealer.</w:t>
      </w:r>
    </w:p>
    <w:p w14:paraId="17AE1750" w14:textId="77777777" w:rsidR="00C93026" w:rsidRDefault="00026BDD">
      <w:pPr>
        <w:rPr>
          <w:lang w:val="pt-PT"/>
        </w:rPr>
      </w:pPr>
      <w:r w:rsidRPr="00DB1D2A">
        <w:rPr>
          <w:lang w:val="pt-PT"/>
        </w:rPr>
        <w:t>EFIX-</w:t>
      </w:r>
      <w:r w:rsidR="00E738A9">
        <w:rPr>
          <w:lang w:val="pt-PT"/>
        </w:rPr>
        <w:t>7343</w:t>
      </w:r>
      <w:r w:rsidRPr="00DB1D2A">
        <w:rPr>
          <w:lang w:val="pt-PT"/>
        </w:rPr>
        <w:tab/>
      </w:r>
      <w:r w:rsidRPr="00DB1D2A">
        <w:rPr>
          <w:lang w:val="pt-PT"/>
        </w:rPr>
        <w:tab/>
      </w:r>
      <w:r w:rsidRPr="00DB1D2A">
        <w:rPr>
          <w:lang w:val="pt-PT"/>
        </w:rPr>
        <w:tab/>
      </w:r>
      <w:r w:rsidRPr="00DB1D2A">
        <w:rPr>
          <w:lang w:val="pt-PT"/>
        </w:rPr>
        <w:tab/>
      </w:r>
      <w:r w:rsidRPr="00DB1D2A">
        <w:rPr>
          <w:lang w:val="pt-PT"/>
        </w:rPr>
        <w:tab/>
      </w:r>
      <w:r w:rsidRPr="00DB1D2A">
        <w:rPr>
          <w:lang w:val="pt-PT"/>
        </w:rPr>
        <w:tab/>
      </w:r>
      <w:r w:rsidRPr="00DB1D2A">
        <w:rPr>
          <w:lang w:val="pt-PT"/>
        </w:rPr>
        <w:tab/>
      </w:r>
      <w:r w:rsidRPr="00DB1D2A">
        <w:rPr>
          <w:lang w:val="pt-PT"/>
        </w:rPr>
        <w:tab/>
      </w:r>
    </w:p>
    <w:p w14:paraId="673E638A" w14:textId="2CE63C8F" w:rsidR="00C93026" w:rsidRDefault="00026BDD">
      <w:pPr>
        <w:rPr>
          <w:color w:val="000000"/>
          <w:lang w:val="pt-PT"/>
        </w:rPr>
      </w:pPr>
      <w:r w:rsidRPr="00DB1D2A">
        <w:rPr>
          <w:color w:val="000000"/>
          <w:lang w:val="pt-PT"/>
        </w:rPr>
        <w:t>C</w:t>
      </w:r>
      <w:r w:rsidR="00E738A9">
        <w:rPr>
          <w:color w:val="000000"/>
          <w:lang w:val="pt-PT"/>
        </w:rPr>
        <w:t>64997</w:t>
      </w:r>
      <w:r w:rsidRPr="00DB1D2A">
        <w:rPr>
          <w:color w:val="000000"/>
          <w:lang w:val="pt-PT"/>
        </w:rPr>
        <w:t>-MVA, R95352-</w:t>
      </w:r>
      <w:r w:rsidR="00E738A9">
        <w:rPr>
          <w:color w:val="000000"/>
          <w:lang w:val="pt-PT"/>
        </w:rPr>
        <w:t>01-</w:t>
      </w:r>
      <w:r w:rsidRPr="00DB1D2A">
        <w:rPr>
          <w:color w:val="000000"/>
          <w:lang w:val="pt-PT"/>
        </w:rPr>
        <w:t>MVA</w:t>
      </w:r>
    </w:p>
    <w:p w14:paraId="0627F4A6" w14:textId="188B23B9" w:rsidR="00792F2D" w:rsidRPr="00DB1D2A" w:rsidRDefault="00792F2D">
      <w:pPr>
        <w:rPr>
          <w:rFonts w:ascii="Helvetica Neue" w:eastAsia="Helvetica Neue" w:hAnsi="Helvetica Neue" w:cs="Helvetica Neue"/>
          <w:color w:val="FF0000"/>
          <w:lang w:val="pt-PT"/>
        </w:rPr>
      </w:pPr>
    </w:p>
    <w:p w14:paraId="45E13E4D" w14:textId="379165A7" w:rsidR="00792F2D" w:rsidRDefault="00026BDD">
      <w:pPr>
        <w:rPr>
          <w:color w:val="FF0000"/>
        </w:rPr>
      </w:pPr>
      <w:r w:rsidRPr="00DB1D2A">
        <w:rPr>
          <w:lang w:val="pt-PT"/>
        </w:rPr>
        <w:tab/>
      </w:r>
      <w:r w:rsidRPr="00DB1D2A">
        <w:rPr>
          <w:lang w:val="pt-PT"/>
        </w:rPr>
        <w:tab/>
      </w:r>
      <w:r w:rsidRPr="00DB1D2A">
        <w:rPr>
          <w:lang w:val="pt-PT"/>
        </w:rPr>
        <w:tab/>
      </w:r>
      <w:r w:rsidRPr="00DB1D2A">
        <w:rPr>
          <w:lang w:val="pt-PT"/>
        </w:rPr>
        <w:tab/>
      </w:r>
      <w:r w:rsidRPr="00DB1D2A">
        <w:rPr>
          <w:lang w:val="pt-PT"/>
        </w:rPr>
        <w:tab/>
      </w:r>
      <w:r w:rsidRPr="00DB1D2A">
        <w:rPr>
          <w:lang w:val="pt-PT"/>
        </w:rPr>
        <w:tab/>
      </w:r>
      <w:r w:rsidRPr="00DB1D2A">
        <w:rPr>
          <w:lang w:val="pt-PT"/>
        </w:rPr>
        <w:tab/>
      </w:r>
      <w:r w:rsidRPr="00DB1D2A">
        <w:rPr>
          <w:lang w:val="pt-PT"/>
        </w:rPr>
        <w:tab/>
      </w:r>
      <w:r w:rsidRPr="00DB1D2A">
        <w:rPr>
          <w:lang w:val="pt-PT"/>
        </w:rPr>
        <w:tab/>
      </w:r>
      <w:r w:rsidRPr="00DB1D2A">
        <w:rPr>
          <w:lang w:val="pt-PT"/>
        </w:rPr>
        <w:tab/>
      </w:r>
      <w:r w:rsidR="00C93026">
        <w:rPr>
          <w:lang w:val="pt-PT"/>
        </w:rPr>
        <w:tab/>
      </w:r>
      <w:r w:rsidR="00C93026">
        <w:rPr>
          <w:lang w:val="pt-PT"/>
        </w:rPr>
        <w:tab/>
      </w:r>
      <w:r w:rsidR="00C93026">
        <w:rPr>
          <w:lang w:val="pt-PT"/>
        </w:rPr>
        <w:tab/>
      </w:r>
      <w:r w:rsidR="00C93026">
        <w:rPr>
          <w:lang w:val="pt-PT"/>
        </w:rPr>
        <w:tab/>
      </w:r>
    </w:p>
    <w:sectPr w:rsidR="00792F2D">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E85333" w14:textId="77777777" w:rsidR="00F23252" w:rsidRDefault="00F23252" w:rsidP="00E738A9">
      <w:pPr>
        <w:spacing w:after="0" w:line="240" w:lineRule="auto"/>
      </w:pPr>
      <w:r>
        <w:separator/>
      </w:r>
    </w:p>
  </w:endnote>
  <w:endnote w:type="continuationSeparator" w:id="0">
    <w:p w14:paraId="1F0A8C26" w14:textId="77777777" w:rsidR="00F23252" w:rsidRDefault="00F23252" w:rsidP="00E738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Helvetica Neue">
    <w:altName w:val="Times New Roman"/>
    <w:charset w:val="00"/>
    <w:family w:val="auto"/>
    <w:pitch w:val="variable"/>
    <w:sig w:usb0="E50002FF" w:usb1="500079DB" w:usb2="0000001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50B1E1" w14:textId="77777777" w:rsidR="00F23252" w:rsidRDefault="00F23252" w:rsidP="00E738A9">
      <w:pPr>
        <w:spacing w:after="0" w:line="240" w:lineRule="auto"/>
      </w:pPr>
      <w:r>
        <w:separator/>
      </w:r>
    </w:p>
  </w:footnote>
  <w:footnote w:type="continuationSeparator" w:id="0">
    <w:p w14:paraId="03FE0F16" w14:textId="77777777" w:rsidR="00F23252" w:rsidRDefault="00F23252" w:rsidP="00E738A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577CAA"/>
    <w:multiLevelType w:val="multilevel"/>
    <w:tmpl w:val="A4B6440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4C50752"/>
    <w:multiLevelType w:val="multilevel"/>
    <w:tmpl w:val="117871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6681EB7"/>
    <w:multiLevelType w:val="hybridMultilevel"/>
    <w:tmpl w:val="F5A2CD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E197974"/>
    <w:multiLevelType w:val="multilevel"/>
    <w:tmpl w:val="66BE0C0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7ED91C79"/>
    <w:multiLevelType w:val="multilevel"/>
    <w:tmpl w:val="F8EAF4F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495798637">
    <w:abstractNumId w:val="4"/>
  </w:num>
  <w:num w:numId="2" w16cid:durableId="526648305">
    <w:abstractNumId w:val="3"/>
  </w:num>
  <w:num w:numId="3" w16cid:durableId="834494465">
    <w:abstractNumId w:val="0"/>
  </w:num>
  <w:num w:numId="4" w16cid:durableId="360057445">
    <w:abstractNumId w:val="1"/>
  </w:num>
  <w:num w:numId="5" w16cid:durableId="18932325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2F2D"/>
    <w:rsid w:val="000014DD"/>
    <w:rsid w:val="00026BDD"/>
    <w:rsid w:val="000E3ABA"/>
    <w:rsid w:val="001218B3"/>
    <w:rsid w:val="001A3AE5"/>
    <w:rsid w:val="001B6D89"/>
    <w:rsid w:val="00217434"/>
    <w:rsid w:val="00261EDB"/>
    <w:rsid w:val="002662EA"/>
    <w:rsid w:val="003622B5"/>
    <w:rsid w:val="00363C0A"/>
    <w:rsid w:val="003E27D9"/>
    <w:rsid w:val="0041321E"/>
    <w:rsid w:val="00452796"/>
    <w:rsid w:val="004F5C1C"/>
    <w:rsid w:val="00570345"/>
    <w:rsid w:val="00623BBB"/>
    <w:rsid w:val="006B5A3B"/>
    <w:rsid w:val="006F4375"/>
    <w:rsid w:val="007211E5"/>
    <w:rsid w:val="00751A03"/>
    <w:rsid w:val="00792F2D"/>
    <w:rsid w:val="007A359C"/>
    <w:rsid w:val="007A5D2C"/>
    <w:rsid w:val="007D104A"/>
    <w:rsid w:val="008363C8"/>
    <w:rsid w:val="008A320C"/>
    <w:rsid w:val="008B6987"/>
    <w:rsid w:val="008E07CC"/>
    <w:rsid w:val="0092284F"/>
    <w:rsid w:val="00983912"/>
    <w:rsid w:val="009D09E6"/>
    <w:rsid w:val="009D317E"/>
    <w:rsid w:val="00A1291F"/>
    <w:rsid w:val="00A75655"/>
    <w:rsid w:val="00AA3823"/>
    <w:rsid w:val="00B053E6"/>
    <w:rsid w:val="00B15438"/>
    <w:rsid w:val="00B47595"/>
    <w:rsid w:val="00B5037E"/>
    <w:rsid w:val="00B95055"/>
    <w:rsid w:val="00B96B5D"/>
    <w:rsid w:val="00BF19E6"/>
    <w:rsid w:val="00C22855"/>
    <w:rsid w:val="00C57530"/>
    <w:rsid w:val="00C93026"/>
    <w:rsid w:val="00CC7E14"/>
    <w:rsid w:val="00CD2809"/>
    <w:rsid w:val="00CD5043"/>
    <w:rsid w:val="00D15820"/>
    <w:rsid w:val="00D80AEC"/>
    <w:rsid w:val="00DB1D2A"/>
    <w:rsid w:val="00E02057"/>
    <w:rsid w:val="00E17D3E"/>
    <w:rsid w:val="00E738A9"/>
    <w:rsid w:val="00E95D6D"/>
    <w:rsid w:val="00F23252"/>
    <w:rsid w:val="00FA010F"/>
    <w:rsid w:val="00FA59DC"/>
    <w:rsid w:val="00FD76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5FB21C"/>
  <w15:docId w15:val="{64D89502-1D43-1240-886D-705F1B714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40" w:after="0" w:line="240" w:lineRule="auto"/>
      <w:outlineLvl w:val="1"/>
    </w:pPr>
    <w:rPr>
      <w:rFonts w:ascii="Cambria" w:eastAsia="Cambria" w:hAnsi="Cambria" w:cs="Cambria"/>
      <w:color w:val="366091"/>
      <w:sz w:val="26"/>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Revision">
    <w:name w:val="Revision"/>
    <w:hidden/>
    <w:uiPriority w:val="99"/>
    <w:semiHidden/>
    <w:rsid w:val="00026BDD"/>
    <w:pPr>
      <w:spacing w:after="0" w:line="240" w:lineRule="auto"/>
    </w:pPr>
  </w:style>
  <w:style w:type="paragraph" w:styleId="ListParagraph">
    <w:name w:val="List Paragraph"/>
    <w:basedOn w:val="Normal"/>
    <w:uiPriority w:val="34"/>
    <w:qFormat/>
    <w:rsid w:val="001218B3"/>
    <w:pPr>
      <w:ind w:left="720"/>
      <w:contextualSpacing/>
    </w:pPr>
    <w:rPr>
      <w:rFonts w:asciiTheme="minorHAnsi" w:eastAsiaTheme="minorHAnsi" w:hAnsiTheme="minorHAnsi" w:cstheme="minorBidi"/>
    </w:rPr>
  </w:style>
  <w:style w:type="character" w:styleId="Hyperlink">
    <w:name w:val="Hyperlink"/>
    <w:basedOn w:val="DefaultParagraphFont"/>
    <w:uiPriority w:val="99"/>
    <w:unhideWhenUsed/>
    <w:rsid w:val="00BF19E6"/>
    <w:rPr>
      <w:color w:val="0000FF" w:themeColor="hyperlink"/>
      <w:u w:val="single"/>
    </w:rPr>
  </w:style>
  <w:style w:type="paragraph" w:styleId="Header">
    <w:name w:val="header"/>
    <w:basedOn w:val="Normal"/>
    <w:link w:val="HeaderChar"/>
    <w:uiPriority w:val="99"/>
    <w:unhideWhenUsed/>
    <w:rsid w:val="00E738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38A9"/>
  </w:style>
  <w:style w:type="paragraph" w:styleId="Footer">
    <w:name w:val="footer"/>
    <w:basedOn w:val="Normal"/>
    <w:link w:val="FooterChar"/>
    <w:uiPriority w:val="99"/>
    <w:unhideWhenUsed/>
    <w:rsid w:val="00E738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38A9"/>
  </w:style>
  <w:style w:type="character" w:styleId="CommentReference">
    <w:name w:val="annotation reference"/>
    <w:basedOn w:val="DefaultParagraphFont"/>
    <w:uiPriority w:val="99"/>
    <w:semiHidden/>
    <w:unhideWhenUsed/>
    <w:rsid w:val="008B6987"/>
    <w:rPr>
      <w:sz w:val="16"/>
      <w:szCs w:val="16"/>
    </w:rPr>
  </w:style>
  <w:style w:type="paragraph" w:styleId="CommentText">
    <w:name w:val="annotation text"/>
    <w:basedOn w:val="Normal"/>
    <w:link w:val="CommentTextChar"/>
    <w:uiPriority w:val="99"/>
    <w:unhideWhenUsed/>
    <w:rsid w:val="008B6987"/>
    <w:pPr>
      <w:spacing w:line="240" w:lineRule="auto"/>
    </w:pPr>
    <w:rPr>
      <w:sz w:val="20"/>
      <w:szCs w:val="20"/>
    </w:rPr>
  </w:style>
  <w:style w:type="character" w:customStyle="1" w:styleId="CommentTextChar">
    <w:name w:val="Comment Text Char"/>
    <w:basedOn w:val="DefaultParagraphFont"/>
    <w:link w:val="CommentText"/>
    <w:uiPriority w:val="99"/>
    <w:rsid w:val="008B6987"/>
    <w:rPr>
      <w:sz w:val="20"/>
      <w:szCs w:val="20"/>
    </w:rPr>
  </w:style>
  <w:style w:type="paragraph" w:styleId="CommentSubject">
    <w:name w:val="annotation subject"/>
    <w:basedOn w:val="CommentText"/>
    <w:next w:val="CommentText"/>
    <w:link w:val="CommentSubjectChar"/>
    <w:uiPriority w:val="99"/>
    <w:semiHidden/>
    <w:unhideWhenUsed/>
    <w:rsid w:val="008B6987"/>
    <w:rPr>
      <w:b/>
      <w:bCs/>
    </w:rPr>
  </w:style>
  <w:style w:type="character" w:customStyle="1" w:styleId="CommentSubjectChar">
    <w:name w:val="Comment Subject Char"/>
    <w:basedOn w:val="CommentTextChar"/>
    <w:link w:val="CommentSubject"/>
    <w:uiPriority w:val="99"/>
    <w:semiHidden/>
    <w:rsid w:val="008B6987"/>
    <w:rPr>
      <w:b/>
      <w:bCs/>
      <w:sz w:val="20"/>
      <w:szCs w:val="20"/>
    </w:rPr>
  </w:style>
  <w:style w:type="character" w:customStyle="1" w:styleId="cf01">
    <w:name w:val="cf01"/>
    <w:basedOn w:val="DefaultParagraphFont"/>
    <w:rsid w:val="00D15820"/>
    <w:rPr>
      <w:rFonts w:ascii="Segoe UI" w:hAnsi="Segoe UI" w:cs="Segoe UI" w:hint="default"/>
      <w:i/>
      <w:iCs/>
      <w:color w:val="333333"/>
      <w:sz w:val="18"/>
      <w:szCs w:val="18"/>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761</Words>
  <Characters>4339</Characters>
  <Application>Microsoft Office Word</Application>
  <DocSecurity>4</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Jeff Ginkel</dc:creator>
  <cp:lastModifiedBy>Delong, Tracy (Allianz Life Insurance Company)</cp:lastModifiedBy>
  <cp:revision>2</cp:revision>
  <dcterms:created xsi:type="dcterms:W3CDTF">2026-06-02T19:01:00Z</dcterms:created>
  <dcterms:modified xsi:type="dcterms:W3CDTF">2026-06-02T19:01:00Z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220368487</vt:i4>
  </property>
  <property fmtid="{D5CDD505-2E9C-101B-9397-08002B2CF9AE}" pid="3" name="_NewReviewCycle">
    <vt:lpwstr/>
  </property>
  <property fmtid="{D5CDD505-2E9C-101B-9397-08002B2CF9AE}" pid="4" name="_EmailSubject">
    <vt:lpwstr>222+ client email copy</vt:lpwstr>
  </property>
  <property fmtid="{D5CDD505-2E9C-101B-9397-08002B2CF9AE}" pid="5" name="_AuthorEmail">
    <vt:lpwstr>Jeff.Ginkel@allianzlife.com</vt:lpwstr>
  </property>
  <property fmtid="{D5CDD505-2E9C-101B-9397-08002B2CF9AE}" pid="6" name="_AuthorEmailDisplayName">
    <vt:lpwstr>Ginkel, Jeff (Allianz Life Insurance Company)</vt:lpwstr>
  </property>
  <property fmtid="{D5CDD505-2E9C-101B-9397-08002B2CF9AE}" pid="7" name="_ReviewingToolsShownOnce">
    <vt:lpwstr/>
  </property>
</Properties>
</file>